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543CD" w14:textId="04AB4E57" w:rsidR="007D1B24" w:rsidRDefault="007D1B24" w:rsidP="0087145B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3AE91687" wp14:editId="1B12185B">
            <wp:extent cx="1507490" cy="7112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onmt.pd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874" cy="730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F6E87D" w14:textId="77777777" w:rsidR="007D1B24" w:rsidRDefault="007D1B24" w:rsidP="0087145B">
      <w:pPr>
        <w:jc w:val="center"/>
        <w:rPr>
          <w:b/>
          <w:bCs/>
          <w:sz w:val="32"/>
          <w:szCs w:val="32"/>
        </w:rPr>
      </w:pPr>
    </w:p>
    <w:p w14:paraId="178038E2" w14:textId="2C669800" w:rsidR="00485C9F" w:rsidRDefault="00D7232B" w:rsidP="0087145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Actions, Performances et Transparence,</w:t>
      </w:r>
    </w:p>
    <w:p w14:paraId="76E1F2E4" w14:textId="50326026" w:rsidR="00D7232B" w:rsidRDefault="00D7232B" w:rsidP="0087145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maîtres-mots du CA de l’ONMT</w:t>
      </w:r>
    </w:p>
    <w:p w14:paraId="2D12E71B" w14:textId="77777777" w:rsidR="00387F06" w:rsidRPr="0087145B" w:rsidRDefault="00387F06" w:rsidP="0087145B">
      <w:pPr>
        <w:jc w:val="center"/>
        <w:rPr>
          <w:b/>
          <w:bCs/>
          <w:sz w:val="32"/>
          <w:szCs w:val="32"/>
        </w:rPr>
      </w:pPr>
    </w:p>
    <w:p w14:paraId="4938C8B4" w14:textId="77777777" w:rsidR="00485C9F" w:rsidRPr="0087145B" w:rsidRDefault="00485C9F" w:rsidP="00485C9F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87145B">
        <w:rPr>
          <w:rFonts w:asciiTheme="minorHAnsi" w:hAnsiTheme="minorHAnsi" w:cstheme="minorHAnsi"/>
          <w:b/>
          <w:bCs/>
        </w:rPr>
        <w:t>L’</w:t>
      </w:r>
      <w:r w:rsidR="0087145B" w:rsidRPr="0087145B">
        <w:rPr>
          <w:rFonts w:asciiTheme="minorHAnsi" w:hAnsiTheme="minorHAnsi" w:cstheme="minorHAnsi"/>
          <w:b/>
          <w:bCs/>
        </w:rPr>
        <w:t xml:space="preserve">ONMT </w:t>
      </w:r>
      <w:r w:rsidRPr="0087145B">
        <w:rPr>
          <w:rFonts w:asciiTheme="minorHAnsi" w:hAnsiTheme="minorHAnsi" w:cstheme="minorHAnsi"/>
          <w:b/>
          <w:bCs/>
        </w:rPr>
        <w:t>innove et publie son rapport d’activité en format digital à l’instar des grandes destinations touristiques mondiales</w:t>
      </w:r>
    </w:p>
    <w:p w14:paraId="22788FB0" w14:textId="77777777" w:rsidR="00485C9F" w:rsidRPr="0087145B" w:rsidRDefault="00485C9F" w:rsidP="00485C9F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87145B">
        <w:rPr>
          <w:rFonts w:asciiTheme="minorHAnsi" w:hAnsiTheme="minorHAnsi" w:cstheme="minorHAnsi"/>
          <w:b/>
          <w:bCs/>
        </w:rPr>
        <w:t>Un rapport d’activité qui contient l’ensemble des actions substancées et chiffrées de l’Office</w:t>
      </w:r>
    </w:p>
    <w:p w14:paraId="062D14CE" w14:textId="77777777" w:rsidR="00485C9F" w:rsidRPr="0087145B" w:rsidRDefault="00485C9F" w:rsidP="00485C9F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87145B">
        <w:rPr>
          <w:rFonts w:asciiTheme="minorHAnsi" w:hAnsiTheme="minorHAnsi" w:cstheme="minorHAnsi"/>
          <w:b/>
          <w:bCs/>
        </w:rPr>
        <w:t xml:space="preserve">Pour le second semestre 2022, l’ONMT compte </w:t>
      </w:r>
      <w:r w:rsidR="0087145B" w:rsidRPr="0087145B">
        <w:rPr>
          <w:rFonts w:asciiTheme="minorHAnsi" w:eastAsia="Times New Roman" w:hAnsiTheme="minorHAnsi" w:cstheme="minorHAnsi"/>
          <w:b/>
          <w:bCs/>
          <w:color w:val="000000" w:themeColor="text1"/>
          <w:szCs w:val="24"/>
          <w:lang w:eastAsia="zh-CN"/>
        </w:rPr>
        <w:t>intensifier encore plus les actions commerciales et promotionnelles aussi bien au niveau international que national pour accompagner la relance.</w:t>
      </w:r>
    </w:p>
    <w:p w14:paraId="0A83C95A" w14:textId="77777777" w:rsidR="00485C9F" w:rsidRDefault="00485C9F"/>
    <w:p w14:paraId="7CD0431B" w14:textId="77777777" w:rsidR="00485C9F" w:rsidRDefault="00485C9F"/>
    <w:p w14:paraId="5CAB529A" w14:textId="77777777" w:rsidR="0087145B" w:rsidRDefault="00485C9F" w:rsidP="0087145B">
      <w:pPr>
        <w:spacing w:after="120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B1AD4">
        <w:rPr>
          <w:rFonts w:ascii="Arial" w:hAnsi="Arial" w:cs="Arial"/>
          <w:b/>
          <w:bCs/>
          <w:color w:val="000000" w:themeColor="text1"/>
          <w:szCs w:val="24"/>
        </w:rPr>
        <w:t xml:space="preserve">Rabat, le </w:t>
      </w:r>
      <w:r>
        <w:rPr>
          <w:rFonts w:ascii="Arial" w:hAnsi="Arial" w:cs="Arial"/>
          <w:b/>
          <w:bCs/>
          <w:color w:val="000000" w:themeColor="text1"/>
          <w:szCs w:val="24"/>
        </w:rPr>
        <w:t>28</w:t>
      </w:r>
      <w:r w:rsidRPr="007B1AD4">
        <w:rPr>
          <w:rFonts w:ascii="Arial" w:hAnsi="Arial" w:cs="Arial"/>
          <w:b/>
          <w:bCs/>
          <w:color w:val="000000" w:themeColor="text1"/>
          <w:szCs w:val="24"/>
        </w:rPr>
        <w:t xml:space="preserve"> juin 2022</w:t>
      </w:r>
      <w:r w:rsidRPr="007B1AD4">
        <w:rPr>
          <w:rFonts w:ascii="Arial" w:hAnsi="Arial" w:cs="Arial"/>
          <w:color w:val="000000" w:themeColor="text1"/>
          <w:szCs w:val="24"/>
        </w:rPr>
        <w:t xml:space="preserve"> – </w:t>
      </w:r>
      <w:r w:rsidRPr="0087145B">
        <w:rPr>
          <w:rFonts w:asciiTheme="minorHAnsi" w:hAnsiTheme="minorHAnsi" w:cstheme="minorHAnsi"/>
          <w:color w:val="000000" w:themeColor="text1"/>
          <w:szCs w:val="24"/>
        </w:rPr>
        <w:t xml:space="preserve">Le Conseil d’administration de l’Office National Marocain du Tourisme (ONMT) s’est réuni ce mardi 28 juin </w:t>
      </w:r>
      <w:r w:rsidRPr="0087145B">
        <w:rPr>
          <w:rFonts w:asciiTheme="minorHAnsi" w:hAnsiTheme="minorHAnsi" w:cstheme="minorHAnsi"/>
          <w:b/>
          <w:bCs/>
          <w:color w:val="000000" w:themeColor="text1"/>
          <w:szCs w:val="24"/>
        </w:rPr>
        <w:t>sous la présidence de Mme Fatim-Zahra Ammor, ministre du Tourisme, de l’Artisanat et de l’Economie Sociale et solidaire,</w:t>
      </w:r>
      <w:r w:rsidRPr="0087145B">
        <w:rPr>
          <w:rFonts w:asciiTheme="minorHAnsi" w:hAnsiTheme="minorHAnsi" w:cstheme="minorHAnsi"/>
          <w:color w:val="000000" w:themeColor="text1"/>
          <w:szCs w:val="24"/>
        </w:rPr>
        <w:t xml:space="preserve"> afin de faire le bilan d’une année d’action au service de la résilience du secteur touristique national et de tracer les perspectives de sa relance. </w:t>
      </w:r>
    </w:p>
    <w:p w14:paraId="338CB816" w14:textId="77777777" w:rsidR="00485C9F" w:rsidRPr="0087145B" w:rsidRDefault="00485C9F" w:rsidP="0087145B">
      <w:pPr>
        <w:spacing w:after="120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87145B">
        <w:rPr>
          <w:rFonts w:asciiTheme="minorHAnsi" w:hAnsiTheme="minorHAnsi" w:cstheme="minorHAnsi"/>
          <w:color w:val="000000" w:themeColor="text1"/>
          <w:szCs w:val="24"/>
        </w:rPr>
        <w:t xml:space="preserve">Alors que l’industrie touristique marocaine vient de traverser deux années exceptionnelles, </w:t>
      </w:r>
      <w:r w:rsidRPr="0087145B">
        <w:rPr>
          <w:rFonts w:asciiTheme="minorHAnsi" w:eastAsia="Cambria" w:hAnsiTheme="minorHAnsi" w:cstheme="minorHAnsi"/>
          <w:color w:val="000000" w:themeColor="text1"/>
          <w:szCs w:val="24"/>
          <w:highlight w:val="white"/>
        </w:rPr>
        <w:t xml:space="preserve">l’Office National Marocain du Tourisme a su faire preuve de réactivité face à un contexte inédit. Après une année 2020 où les équipes de l’ONMT avaient </w:t>
      </w:r>
      <w:r w:rsidRPr="0087145B">
        <w:rPr>
          <w:rFonts w:asciiTheme="minorHAnsi" w:hAnsiTheme="minorHAnsi" w:cstheme="minorHAnsi"/>
          <w:color w:val="000000" w:themeColor="text1"/>
          <w:szCs w:val="24"/>
        </w:rPr>
        <w:t xml:space="preserve">œuvré pour conserver les fondamentaux marketing et commerciaux de la destination Maroc, l’exercice 2021 a permis de poursuivre </w:t>
      </w:r>
      <w:r w:rsidRPr="0087145B">
        <w:rPr>
          <w:rFonts w:asciiTheme="minorHAnsi" w:eastAsia="Tahoma" w:hAnsiTheme="minorHAnsi" w:cstheme="minorHAnsi"/>
          <w:color w:val="000000" w:themeColor="text1"/>
          <w:szCs w:val="24"/>
        </w:rPr>
        <w:t>ses grands chantiers d’amélioration</w:t>
      </w:r>
      <w:r w:rsidRPr="0087145B">
        <w:rPr>
          <w:rFonts w:asciiTheme="minorHAnsi" w:hAnsiTheme="minorHAnsi" w:cstheme="minorHAnsi"/>
          <w:color w:val="000000" w:themeColor="text1"/>
          <w:szCs w:val="24"/>
        </w:rPr>
        <w:t>.</w:t>
      </w:r>
      <w:r w:rsidRPr="0087145B">
        <w:rPr>
          <w:rFonts w:asciiTheme="minorHAnsi" w:eastAsia="Tahoma" w:hAnsiTheme="minorHAnsi" w:cstheme="minorHAnsi"/>
          <w:color w:val="000000" w:themeColor="text1"/>
          <w:szCs w:val="24"/>
        </w:rPr>
        <w:t xml:space="preserve"> Cela afin de préparer la reconstruction qui permettra de retrouver les niveaux de performance de l’année 2019 et de les dépasser.</w:t>
      </w:r>
    </w:p>
    <w:p w14:paraId="387EEB2D" w14:textId="77777777" w:rsidR="00485C9F" w:rsidRPr="0087145B" w:rsidRDefault="00485C9F" w:rsidP="0087145B">
      <w:pPr>
        <w:spacing w:after="120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87145B">
        <w:rPr>
          <w:rFonts w:asciiTheme="minorHAnsi" w:eastAsia="Times New Roman" w:hAnsiTheme="minorHAnsi" w:cstheme="minorHAnsi"/>
          <w:color w:val="000000" w:themeColor="text1"/>
          <w:szCs w:val="24"/>
          <w:lang w:val="fr-MA" w:eastAsia="zh-CN"/>
        </w:rPr>
        <w:t xml:space="preserve">Sur l’ensemble des chantiers liés à sa double mission promotionnelle et commerciale au service du tourisme marocain, l’Office a redoublé d’effort et </w:t>
      </w:r>
      <w:r w:rsidRPr="0087145B">
        <w:rPr>
          <w:rFonts w:asciiTheme="minorHAnsi" w:hAnsiTheme="minorHAnsi" w:cstheme="minorHAnsi"/>
          <w:color w:val="000000" w:themeColor="text1"/>
          <w:szCs w:val="24"/>
          <w:lang w:val="fr-MA"/>
        </w:rPr>
        <w:t xml:space="preserve">multiplié les initiatives pour la </w:t>
      </w:r>
      <w:r w:rsidRPr="0087145B">
        <w:rPr>
          <w:rFonts w:asciiTheme="minorHAnsi" w:hAnsiTheme="minorHAnsi" w:cstheme="minorHAnsi"/>
          <w:color w:val="000000" w:themeColor="text1"/>
          <w:szCs w:val="24"/>
        </w:rPr>
        <w:t>reconquête de parts de marché, des capacités aériennes et des flux vers le Maroc. 2,54 millions de sièges ont été soutenu par l’ONMT avec un taux de reprise de 75% par rapport à 2019. Le référencement auprès des tour-opérateurs a permis d’atteindre un objectif de 236.000 clients et 2,3 millions de nuitées réalisées par les TO en ligne, soit respectivement 31% et 47% des performances 2019.</w:t>
      </w:r>
    </w:p>
    <w:p w14:paraId="7810E640" w14:textId="39EA388A" w:rsidR="00485C9F" w:rsidRPr="0087145B" w:rsidRDefault="00485C9F" w:rsidP="00485C9F">
      <w:pPr>
        <w:spacing w:after="120"/>
        <w:jc w:val="both"/>
        <w:rPr>
          <w:rFonts w:asciiTheme="minorHAnsi" w:hAnsiTheme="minorHAnsi" w:cstheme="minorHAnsi"/>
          <w:color w:val="000000" w:themeColor="text1"/>
          <w:szCs w:val="24"/>
          <w:lang w:val="fr-MA"/>
        </w:rPr>
      </w:pPr>
      <w:r w:rsidRPr="0087145B">
        <w:rPr>
          <w:rFonts w:asciiTheme="minorHAnsi" w:eastAsia="Times New Roman" w:hAnsiTheme="minorHAnsi" w:cstheme="minorHAnsi"/>
          <w:color w:val="000000" w:themeColor="text1"/>
          <w:szCs w:val="24"/>
          <w:lang w:val="fr-MA" w:eastAsia="zh-CN"/>
        </w:rPr>
        <w:t>A fin mars</w:t>
      </w:r>
      <w:r w:rsidR="009D2B7F">
        <w:rPr>
          <w:rFonts w:asciiTheme="minorHAnsi" w:eastAsia="Times New Roman" w:hAnsiTheme="minorHAnsi" w:cstheme="minorHAnsi"/>
          <w:color w:val="000000" w:themeColor="text1"/>
          <w:szCs w:val="24"/>
          <w:lang w:val="fr-MA" w:eastAsia="zh-CN"/>
        </w:rPr>
        <w:t xml:space="preserve"> 2021</w:t>
      </w:r>
      <w:r w:rsidRPr="0087145B">
        <w:rPr>
          <w:rFonts w:asciiTheme="minorHAnsi" w:eastAsia="Times New Roman" w:hAnsiTheme="minorHAnsi" w:cstheme="minorHAnsi"/>
          <w:color w:val="000000" w:themeColor="text1"/>
          <w:szCs w:val="24"/>
          <w:lang w:val="fr-MA" w:eastAsia="zh-CN"/>
        </w:rPr>
        <w:t>, tous les indicateurs affichaient une tendance positive avec +202% d’arrivées de touristes étrangers et +62% de MDM, et une progression des nuitées de 177%</w:t>
      </w:r>
      <w:r w:rsidR="009D2B7F">
        <w:rPr>
          <w:rFonts w:asciiTheme="minorHAnsi" w:eastAsia="Times New Roman" w:hAnsiTheme="minorHAnsi" w:cstheme="minorHAnsi"/>
          <w:color w:val="000000" w:themeColor="text1"/>
          <w:szCs w:val="24"/>
          <w:lang w:val="fr-MA" w:eastAsia="zh-CN"/>
        </w:rPr>
        <w:t xml:space="preserve"> vs 2020</w:t>
      </w:r>
      <w:r w:rsidRPr="0087145B">
        <w:rPr>
          <w:rFonts w:asciiTheme="minorHAnsi" w:eastAsia="Times New Roman" w:hAnsiTheme="minorHAnsi" w:cstheme="minorHAnsi"/>
          <w:color w:val="000000" w:themeColor="text1"/>
          <w:szCs w:val="24"/>
          <w:lang w:val="fr-MA" w:eastAsia="zh-CN"/>
        </w:rPr>
        <w:t>. La signature de nouveaux accords avec des leaders tels que Ryanair, Transavia, EasyJet, Air France offre une excellente visibilité en termes de capacités aériennes, sécurisant 2,04 millions de sièges à travers 14 compagnies pour l’été 2022.</w:t>
      </w:r>
    </w:p>
    <w:p w14:paraId="3B5E1B56" w14:textId="77777777" w:rsidR="00485C9F" w:rsidRPr="0087145B" w:rsidRDefault="00485C9F" w:rsidP="00485C9F">
      <w:pPr>
        <w:spacing w:after="120"/>
        <w:jc w:val="both"/>
        <w:rPr>
          <w:rFonts w:asciiTheme="minorHAnsi" w:hAnsiTheme="minorHAnsi" w:cstheme="minorHAnsi"/>
          <w:color w:val="000000" w:themeColor="text1"/>
          <w:szCs w:val="24"/>
          <w:lang w:val="fr-MA"/>
        </w:rPr>
      </w:pPr>
      <w:r w:rsidRPr="0087145B">
        <w:rPr>
          <w:rFonts w:asciiTheme="minorHAnsi" w:eastAsia="Times New Roman" w:hAnsiTheme="minorHAnsi" w:cstheme="minorHAnsi"/>
          <w:color w:val="000000" w:themeColor="text1"/>
          <w:szCs w:val="24"/>
          <w:lang w:val="fr-MA" w:eastAsia="zh-CN"/>
        </w:rPr>
        <w:t xml:space="preserve">Cette perspective est également renforcée par le partenariat historique signé le 9 juin 2022 entre l’ONMT et Royal Air Maroc visant à mutualiser leurs ressources en </w:t>
      </w:r>
      <w:r w:rsidRPr="0087145B">
        <w:rPr>
          <w:rFonts w:asciiTheme="minorHAnsi" w:eastAsia="Times New Roman" w:hAnsiTheme="minorHAnsi" w:cstheme="minorHAnsi"/>
          <w:color w:val="000000" w:themeColor="text1"/>
          <w:szCs w:val="24"/>
          <w:bdr w:val="none" w:sz="0" w:space="0" w:color="auto" w:frame="1"/>
          <w:lang w:val="fr-MA" w:eastAsia="zh-CN"/>
        </w:rPr>
        <w:t>matière de promotion et de marketing pour la destination Maroc.</w:t>
      </w:r>
    </w:p>
    <w:p w14:paraId="244B9646" w14:textId="430C2707" w:rsidR="00485C9F" w:rsidRPr="0087145B" w:rsidRDefault="00485C9F" w:rsidP="00485C9F">
      <w:pPr>
        <w:spacing w:after="120"/>
        <w:jc w:val="both"/>
        <w:rPr>
          <w:rFonts w:asciiTheme="minorHAnsi" w:hAnsiTheme="minorHAnsi" w:cstheme="minorHAnsi"/>
          <w:color w:val="000000" w:themeColor="text1"/>
          <w:szCs w:val="24"/>
          <w:lang w:val="fr-MA"/>
        </w:rPr>
      </w:pPr>
      <w:r w:rsidRPr="0087145B">
        <w:rPr>
          <w:rFonts w:asciiTheme="minorHAnsi" w:eastAsia="Times New Roman" w:hAnsiTheme="minorHAnsi" w:cstheme="minorHAnsi"/>
          <w:color w:val="000000" w:themeColor="text1"/>
          <w:szCs w:val="24"/>
          <w:lang w:val="fr-MA" w:eastAsia="zh-CN"/>
        </w:rPr>
        <w:t>L’objectif étant un retour rapide au niveau des réalisations de 2019, en termes d’arrivées et de nuitées</w:t>
      </w:r>
      <w:r w:rsidRPr="0087145B">
        <w:rPr>
          <w:rFonts w:asciiTheme="minorHAnsi" w:eastAsia="Times New Roman" w:hAnsiTheme="minorHAnsi" w:cstheme="minorHAnsi"/>
          <w:color w:val="000000" w:themeColor="text1"/>
          <w:szCs w:val="24"/>
          <w:lang w:eastAsia="zh-CN"/>
        </w:rPr>
        <w:t>.</w:t>
      </w:r>
    </w:p>
    <w:p w14:paraId="02D0C1B7" w14:textId="77777777" w:rsidR="00485C9F" w:rsidRPr="0087145B" w:rsidRDefault="00485C9F" w:rsidP="00485C9F">
      <w:pPr>
        <w:spacing w:after="120"/>
        <w:jc w:val="both"/>
        <w:rPr>
          <w:rFonts w:asciiTheme="minorHAnsi" w:hAnsiTheme="minorHAnsi" w:cstheme="minorHAnsi"/>
          <w:color w:val="000000" w:themeColor="text1"/>
          <w:szCs w:val="24"/>
          <w:lang w:val="fr-MA"/>
        </w:rPr>
      </w:pPr>
      <w:r w:rsidRPr="0087145B">
        <w:rPr>
          <w:rFonts w:asciiTheme="minorHAnsi" w:eastAsia="Times New Roman" w:hAnsiTheme="minorHAnsi" w:cstheme="minorHAnsi"/>
          <w:color w:val="000000" w:themeColor="text1"/>
          <w:szCs w:val="24"/>
          <w:lang w:val="fr-MA" w:eastAsia="zh-CN"/>
        </w:rPr>
        <w:lastRenderedPageBreak/>
        <w:t xml:space="preserve">L’impulsion donnée en matière d’image et de communication portée par la nouvelle campagne internationale « Maroc, Terre de Lumière », est soutenue par une stratégie digitale, entièrement repensée comme le principal levier d’interaction avec les voyageurs de nouvelle génération. </w:t>
      </w:r>
    </w:p>
    <w:p w14:paraId="1DA44B7F" w14:textId="77777777" w:rsidR="00485C9F" w:rsidRPr="0087145B" w:rsidRDefault="00485C9F" w:rsidP="00485C9F">
      <w:pPr>
        <w:spacing w:after="120"/>
        <w:jc w:val="both"/>
        <w:rPr>
          <w:rFonts w:asciiTheme="minorHAnsi" w:eastAsia="Times New Roman" w:hAnsiTheme="minorHAnsi" w:cstheme="minorHAnsi"/>
          <w:color w:val="000000" w:themeColor="text1"/>
          <w:szCs w:val="24"/>
          <w:lang w:val="fr-MA" w:eastAsia="zh-CN"/>
        </w:rPr>
      </w:pPr>
      <w:r w:rsidRPr="0087145B">
        <w:rPr>
          <w:rFonts w:asciiTheme="minorHAnsi" w:eastAsia="Times New Roman" w:hAnsiTheme="minorHAnsi" w:cstheme="minorHAnsi"/>
          <w:color w:val="000000" w:themeColor="text1"/>
          <w:szCs w:val="24"/>
          <w:lang w:val="fr-MA" w:eastAsia="zh-CN"/>
        </w:rPr>
        <w:t xml:space="preserve">Dans le cadre du Plan d’action présenté pour le second semestre 2022, </w:t>
      </w:r>
      <w:r w:rsidR="0087145B">
        <w:rPr>
          <w:rFonts w:asciiTheme="minorHAnsi" w:eastAsia="Times New Roman" w:hAnsiTheme="minorHAnsi" w:cstheme="minorHAnsi"/>
          <w:color w:val="000000" w:themeColor="text1"/>
          <w:szCs w:val="24"/>
          <w:lang w:val="fr-MA" w:eastAsia="zh-CN"/>
        </w:rPr>
        <w:t xml:space="preserve">le </w:t>
      </w:r>
      <w:r w:rsidRPr="0087145B">
        <w:rPr>
          <w:rFonts w:asciiTheme="minorHAnsi" w:eastAsia="Times New Roman" w:hAnsiTheme="minorHAnsi" w:cstheme="minorHAnsi"/>
          <w:color w:val="000000" w:themeColor="text1"/>
          <w:szCs w:val="24"/>
          <w:lang w:val="fr-MA" w:eastAsia="zh-CN"/>
        </w:rPr>
        <w:t xml:space="preserve">Directeur général de l’Office a confirmé </w:t>
      </w:r>
      <w:r w:rsidRPr="0087145B">
        <w:rPr>
          <w:rFonts w:asciiTheme="minorHAnsi" w:eastAsia="Times New Roman" w:hAnsiTheme="minorHAnsi" w:cstheme="minorHAnsi"/>
          <w:color w:val="000000" w:themeColor="text1"/>
          <w:szCs w:val="24"/>
          <w:lang w:eastAsia="zh-CN"/>
        </w:rPr>
        <w:t xml:space="preserve">le renforcement des partenariats </w:t>
      </w:r>
      <w:r w:rsidR="0087145B">
        <w:rPr>
          <w:rFonts w:asciiTheme="minorHAnsi" w:eastAsia="Times New Roman" w:hAnsiTheme="minorHAnsi" w:cstheme="minorHAnsi"/>
          <w:color w:val="000000" w:themeColor="text1"/>
          <w:szCs w:val="24"/>
          <w:lang w:eastAsia="zh-CN"/>
        </w:rPr>
        <w:t xml:space="preserve">commerciaux </w:t>
      </w:r>
      <w:r w:rsidRPr="0087145B">
        <w:rPr>
          <w:rFonts w:asciiTheme="minorHAnsi" w:eastAsia="Times New Roman" w:hAnsiTheme="minorHAnsi" w:cstheme="minorHAnsi"/>
          <w:color w:val="000000" w:themeColor="text1"/>
          <w:szCs w:val="24"/>
          <w:lang w:eastAsia="zh-CN"/>
        </w:rPr>
        <w:t>avec les compagnies aériennes, tour-opérateurs et  agences de voyage en ligne pour la saison hiver 2022-2023 </w:t>
      </w:r>
      <w:r w:rsidRPr="0087145B">
        <w:rPr>
          <w:rFonts w:asciiTheme="minorHAnsi" w:eastAsia="Times New Roman" w:hAnsiTheme="minorHAnsi" w:cstheme="minorHAnsi"/>
          <w:color w:val="000000" w:themeColor="text1"/>
          <w:szCs w:val="24"/>
          <w:lang w:val="fr-MA" w:eastAsia="zh-CN"/>
        </w:rPr>
        <w:t>, ainsi que l’</w:t>
      </w:r>
      <w:r w:rsidRPr="0087145B">
        <w:rPr>
          <w:rFonts w:asciiTheme="minorHAnsi" w:eastAsia="Times New Roman" w:hAnsiTheme="minorHAnsi" w:cstheme="minorHAnsi"/>
          <w:color w:val="000000" w:themeColor="text1"/>
          <w:szCs w:val="24"/>
          <w:lang w:eastAsia="zh-CN"/>
        </w:rPr>
        <w:t xml:space="preserve">intensification de l’effort promotionnel </w:t>
      </w:r>
      <w:r w:rsidR="0087145B" w:rsidRPr="0087145B">
        <w:rPr>
          <w:rFonts w:asciiTheme="minorHAnsi" w:eastAsia="Times New Roman" w:hAnsiTheme="minorHAnsi" w:cstheme="minorHAnsi"/>
          <w:color w:val="000000" w:themeColor="text1"/>
          <w:szCs w:val="24"/>
          <w:lang w:eastAsia="zh-CN"/>
        </w:rPr>
        <w:t>aussi bien au niveau national qu’international pour accompagner la relance</w:t>
      </w:r>
      <w:r w:rsidRPr="0087145B">
        <w:rPr>
          <w:rFonts w:asciiTheme="minorHAnsi" w:eastAsia="Times New Roman" w:hAnsiTheme="minorHAnsi" w:cstheme="minorHAnsi"/>
          <w:color w:val="000000" w:themeColor="text1"/>
          <w:szCs w:val="24"/>
          <w:lang w:eastAsia="zh-CN"/>
        </w:rPr>
        <w:t>.</w:t>
      </w:r>
    </w:p>
    <w:p w14:paraId="42F0FB97" w14:textId="231D16CA" w:rsidR="00485C9F" w:rsidRPr="0087145B" w:rsidRDefault="00485C9F" w:rsidP="00485C9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HAnsi" w:hAnsiTheme="minorHAnsi" w:cstheme="minorHAnsi"/>
          <w:b/>
          <w:bCs/>
          <w:color w:val="000000"/>
          <w:szCs w:val="24"/>
        </w:rPr>
      </w:pPr>
      <w:r w:rsidRPr="0087145B">
        <w:rPr>
          <w:rFonts w:asciiTheme="minorHAnsi" w:eastAsia="Calibri" w:hAnsiTheme="minorHAnsi" w:cstheme="minorHAnsi"/>
          <w:b/>
          <w:bCs/>
          <w:color w:val="000000"/>
          <w:szCs w:val="24"/>
        </w:rPr>
        <w:t xml:space="preserve">A l’issu de </w:t>
      </w:r>
      <w:r w:rsidR="0087145B" w:rsidRPr="0087145B">
        <w:rPr>
          <w:rFonts w:asciiTheme="minorHAnsi" w:eastAsia="Calibri" w:hAnsiTheme="minorHAnsi" w:cstheme="minorHAnsi"/>
          <w:b/>
          <w:bCs/>
          <w:color w:val="000000"/>
          <w:szCs w:val="24"/>
        </w:rPr>
        <w:t>c</w:t>
      </w:r>
      <w:r w:rsidRPr="0087145B">
        <w:rPr>
          <w:rFonts w:asciiTheme="minorHAnsi" w:eastAsia="Calibri" w:hAnsiTheme="minorHAnsi" w:cstheme="minorHAnsi"/>
          <w:b/>
          <w:bCs/>
          <w:color w:val="000000"/>
          <w:szCs w:val="24"/>
        </w:rPr>
        <w:t xml:space="preserve">e conseil, le rapport d’activité, ainsi que le bilan financier de l’Office pour l’exercice réalisé ont été approuvés par </w:t>
      </w:r>
      <w:r w:rsidR="005F6B0E">
        <w:rPr>
          <w:rFonts w:asciiTheme="minorHAnsi" w:eastAsia="Calibri" w:hAnsiTheme="minorHAnsi" w:cstheme="minorHAnsi"/>
          <w:b/>
          <w:bCs/>
          <w:color w:val="000000"/>
          <w:szCs w:val="24"/>
        </w:rPr>
        <w:t>les membres du conseil d’administration</w:t>
      </w:r>
      <w:r w:rsidRPr="0087145B">
        <w:rPr>
          <w:rFonts w:asciiTheme="minorHAnsi" w:eastAsia="Calibri" w:hAnsiTheme="minorHAnsi" w:cstheme="minorHAnsi"/>
          <w:b/>
          <w:bCs/>
          <w:color w:val="000000"/>
          <w:szCs w:val="24"/>
        </w:rPr>
        <w:t>, de même que les différents axes de la stratégie de relance.</w:t>
      </w:r>
    </w:p>
    <w:p w14:paraId="3EBD4EB3" w14:textId="1CCA6FAD" w:rsidR="007D1B24" w:rsidRPr="001D0CB0" w:rsidRDefault="007D1B24" w:rsidP="001D0CB0">
      <w:pPr>
        <w:spacing w:line="276" w:lineRule="auto"/>
        <w:rPr>
          <w:rFonts w:asciiTheme="minorBidi" w:hAnsiTheme="minorBidi"/>
          <w:b/>
          <w:bCs/>
          <w:noProof/>
          <w:sz w:val="18"/>
          <w:szCs w:val="18"/>
        </w:rPr>
      </w:pPr>
    </w:p>
    <w:p w14:paraId="30B7C755" w14:textId="77777777" w:rsidR="007D1B24" w:rsidRPr="0087145B" w:rsidRDefault="007D1B24" w:rsidP="00485C9F">
      <w:pPr>
        <w:rPr>
          <w:rFonts w:asciiTheme="minorHAnsi" w:hAnsiTheme="minorHAnsi" w:cstheme="minorHAnsi"/>
        </w:rPr>
      </w:pPr>
    </w:p>
    <w:sectPr w:rsidR="007D1B24" w:rsidRPr="0087145B" w:rsidSect="009E1A0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A4F83"/>
    <w:multiLevelType w:val="hybridMultilevel"/>
    <w:tmpl w:val="6FA44E42"/>
    <w:lvl w:ilvl="0" w:tplc="DC76470E">
      <w:numFmt w:val="bullet"/>
      <w:lvlText w:val="-"/>
      <w:lvlJc w:val="left"/>
      <w:pPr>
        <w:ind w:left="720" w:hanging="360"/>
      </w:pPr>
      <w:rPr>
        <w:rFonts w:ascii="Times" w:eastAsia="Times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1583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C9F"/>
    <w:rsid w:val="001D0CB0"/>
    <w:rsid w:val="00212C32"/>
    <w:rsid w:val="00243AE9"/>
    <w:rsid w:val="00387F06"/>
    <w:rsid w:val="00485C9F"/>
    <w:rsid w:val="005F6B0E"/>
    <w:rsid w:val="00764586"/>
    <w:rsid w:val="007D1B24"/>
    <w:rsid w:val="0087145B"/>
    <w:rsid w:val="009D2B7F"/>
    <w:rsid w:val="009E1A05"/>
    <w:rsid w:val="00AE3165"/>
    <w:rsid w:val="00D7232B"/>
    <w:rsid w:val="00E9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64D7BD"/>
  <w15:chartTrackingRefBased/>
  <w15:docId w15:val="{088ECF8F-E830-6447-B7C0-FA9243075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M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C9F"/>
    <w:rPr>
      <w:rFonts w:ascii="Times" w:eastAsia="Times" w:hAnsi="Times" w:cs="Times New Roman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85C9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D1B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Youssef Alaoui</cp:lastModifiedBy>
  <cp:revision>2</cp:revision>
  <dcterms:created xsi:type="dcterms:W3CDTF">2022-06-28T13:02:00Z</dcterms:created>
  <dcterms:modified xsi:type="dcterms:W3CDTF">2022-06-28T13:02:00Z</dcterms:modified>
</cp:coreProperties>
</file>