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99042" w14:textId="4C4FCCCC" w:rsidR="00A03D1A" w:rsidRDefault="00A03D1A" w:rsidP="00A03D1A">
      <w:pPr>
        <w:pStyle w:val="En-tte"/>
      </w:pPr>
      <w:r w:rsidRPr="006A6E53">
        <w:rPr>
          <w:noProof/>
          <w:sz w:val="12"/>
          <w:szCs w:val="12"/>
          <w:rtl/>
        </w:rPr>
        <w:drawing>
          <wp:anchor distT="0" distB="0" distL="114300" distR="114300" simplePos="0" relativeHeight="251660288" behindDoc="0" locked="0" layoutInCell="1" allowOverlap="1" wp14:anchorId="07A83E2C" wp14:editId="0FCAC560">
            <wp:simplePos x="0" y="0"/>
            <wp:positionH relativeFrom="column">
              <wp:posOffset>-825500</wp:posOffset>
            </wp:positionH>
            <wp:positionV relativeFrom="paragraph">
              <wp:posOffset>0</wp:posOffset>
            </wp:positionV>
            <wp:extent cx="2057400" cy="939165"/>
            <wp:effectExtent l="0" t="0" r="0" b="0"/>
            <wp:wrapSquare wrapText="bothSides"/>
            <wp:docPr id="4" name="Image 4" descr="C:\Users\relkhamlichi\Desktop\Docts archivés\Office\Bourse logistique challenge\BUREAU PC REMPLACEMENT\Bureau récuparation données Rajaa\Logo PORTNET\Format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khamlichi\Desktop\Docts archivés\Office\Bourse logistique challenge\BUREAU PC REMPLACEMENT\Bureau récuparation données Rajaa\Logo PORTNET\Format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ab/>
      </w:r>
      <w:r w:rsidRPr="006A6E53">
        <w:rPr>
          <w:noProof/>
        </w:rPr>
        <w:drawing>
          <wp:anchor distT="0" distB="0" distL="114300" distR="114300" simplePos="0" relativeHeight="251662336" behindDoc="0" locked="0" layoutInCell="1" allowOverlap="1" wp14:anchorId="15F31152" wp14:editId="15A2A45C">
            <wp:simplePos x="0" y="0"/>
            <wp:positionH relativeFrom="column">
              <wp:posOffset>4794250</wp:posOffset>
            </wp:positionH>
            <wp:positionV relativeFrom="paragraph">
              <wp:posOffset>-69850</wp:posOffset>
            </wp:positionV>
            <wp:extent cx="1289050" cy="962025"/>
            <wp:effectExtent l="0" t="0" r="6350" b="9525"/>
            <wp:wrapSquare wrapText="bothSides"/>
            <wp:docPr id="3" name="Image 3" descr="C:\Users\relkhamlichi\Downloads\logoA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lkhamlichi\Downloads\logoAN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036DD1AB" w14:textId="7D67D127" w:rsidR="00A03D1A" w:rsidRDefault="00A03D1A" w:rsidP="00A03D1A">
      <w:pPr>
        <w:tabs>
          <w:tab w:val="left" w:pos="2700"/>
          <w:tab w:val="center" w:pos="4607"/>
        </w:tabs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11EFF22C" wp14:editId="18FDA029">
            <wp:simplePos x="0" y="0"/>
            <wp:positionH relativeFrom="margin">
              <wp:posOffset>1722755</wp:posOffset>
            </wp:positionH>
            <wp:positionV relativeFrom="paragraph">
              <wp:posOffset>6350</wp:posOffset>
            </wp:positionV>
            <wp:extent cx="2184400" cy="731520"/>
            <wp:effectExtent l="0" t="0" r="6350" b="0"/>
            <wp:wrapSquare wrapText="bothSides"/>
            <wp:docPr id="2" name="Image 2" descr="C:\Users\relkhamlichi\AppData\Local\Microsoft\Windows\INetCache\Content.MSO\765FA1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lkhamlichi\AppData\Local\Microsoft\Windows\INetCache\Content.MSO\765FA1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A881A" w14:textId="77777777" w:rsidR="00A03D1A" w:rsidRDefault="00A03D1A" w:rsidP="00A03D1A">
      <w:pPr>
        <w:tabs>
          <w:tab w:val="left" w:pos="2700"/>
          <w:tab w:val="center" w:pos="4607"/>
        </w:tabs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4C721AE2" w14:textId="77777777" w:rsidR="00A03D1A" w:rsidRDefault="00A03D1A" w:rsidP="00A03D1A">
      <w:pPr>
        <w:tabs>
          <w:tab w:val="left" w:pos="2700"/>
          <w:tab w:val="center" w:pos="4607"/>
        </w:tabs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7FDAF16A" w14:textId="77777777" w:rsidR="00A03D1A" w:rsidRDefault="00A03D1A" w:rsidP="00A03D1A">
      <w:pPr>
        <w:tabs>
          <w:tab w:val="left" w:pos="2700"/>
          <w:tab w:val="center" w:pos="4607"/>
        </w:tabs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ab/>
      </w:r>
    </w:p>
    <w:p w14:paraId="11B2FB95" w14:textId="27CC6BAE" w:rsidR="003D0D6E" w:rsidRDefault="003D0D6E" w:rsidP="00A03D1A">
      <w:pPr>
        <w:tabs>
          <w:tab w:val="left" w:pos="2700"/>
          <w:tab w:val="center" w:pos="4607"/>
        </w:tabs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D0D6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COMMUNIQUE DE PRESSE</w:t>
      </w:r>
      <w:bookmarkStart w:id="0" w:name="_GoBack"/>
      <w:bookmarkEnd w:id="0"/>
    </w:p>
    <w:p w14:paraId="6EB4AF13" w14:textId="157B69C3" w:rsidR="00BE6623" w:rsidRDefault="00BE6623" w:rsidP="003D0D6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*  *  *  *  *  *  *  *  *  *</w:t>
      </w:r>
    </w:p>
    <w:p w14:paraId="23C128D8" w14:textId="77777777" w:rsidR="00BE6623" w:rsidRPr="00BE6623" w:rsidRDefault="003D0D6E" w:rsidP="00BE6623">
      <w:pPr>
        <w:spacing w:after="0"/>
        <w:jc w:val="center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E6623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Sous le Haut-Patronage de Sa Majesté le Roi Mohammed VI,</w:t>
      </w:r>
    </w:p>
    <w:p w14:paraId="55FD74F3" w14:textId="487E839F" w:rsidR="00352C06" w:rsidRDefault="003D0D6E" w:rsidP="00352C06">
      <w:pPr>
        <w:spacing w:after="0"/>
        <w:jc w:val="center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D0D6E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F4BBC" w:rsidRPr="00EF2980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PORTNET SA</w:t>
      </w:r>
      <w:r w:rsidR="00BE662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BE6623" w:rsidRPr="00EF2980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en partenariat avec l’Agence Nationale des Ports (ANP) et l’Alliance Africaine du Commerce Electronique (AACE)</w:t>
      </w:r>
      <w:r w:rsidR="00BE662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organisent </w:t>
      </w:r>
      <w:r w:rsidR="009B4F59" w:rsidRPr="00EF2980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la </w:t>
      </w:r>
      <w:r w:rsidRPr="00EF2980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8</w:t>
      </w:r>
      <w:r w:rsidR="00BE6623" w:rsidRPr="00BE662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ème</w:t>
      </w:r>
      <w:r w:rsidR="00BE662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F2980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Conférence Internationale des Guichets Uniques</w:t>
      </w:r>
      <w:r w:rsidR="00BE6623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à Marrakech du 26 au 28 septembre 2022</w:t>
      </w:r>
      <w:r w:rsidR="00352C06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7789EC4E" w14:textId="673C16CF" w:rsidR="003D0D6E" w:rsidRPr="00EF2980" w:rsidRDefault="003D0D6E" w:rsidP="003D0D6E">
      <w:pPr>
        <w:jc w:val="center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2667770" w14:textId="7C7504B5" w:rsidR="002B5E71" w:rsidRDefault="002B5E71" w:rsidP="002B5E71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 contexte de la pandémie de la Covid-19, a mis en évidence l’importance de la continuité des flux transfrontaliers des marchandises pour limiter l’impact de cette crise et favoriser la reprise économique post-crise. En effet, l’arrimage au système de commerce mondial, à travers l’amélioration des conditions d’accès aux marchés mondiaux constitue un enjeu stratégique et un moteur de croissance économique.</w:t>
      </w:r>
    </w:p>
    <w:p w14:paraId="34E7AA56" w14:textId="1FB76AE9" w:rsidR="002B5E71" w:rsidRDefault="002B5E71" w:rsidP="002B5E71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Dans ce contexte, les guichets uniques doivent être des catalyseurs pour la fluidification du commerce transfrontalier, par la fourniture de services à valeur ajoutée, permettant d’améliorer la compétitivité des échanges de commerce. </w:t>
      </w:r>
      <w:r w:rsidR="00695B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cet effet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l’accélération de la transformation digitale et la dématérialisation des processus constituent des axes majeurs des guichets uniques du futur.</w:t>
      </w:r>
    </w:p>
    <w:p w14:paraId="2DFEA052" w14:textId="1ECE304C" w:rsidR="002B5E71" w:rsidRDefault="00F710EF" w:rsidP="0047380A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F710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C’est dans ce cadre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que le thème choisi pour la 8</w:t>
      </w:r>
      <w:r w:rsidRPr="00AA52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ième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Conférence Internationale des Guichets Uniques qui se tient à Marrakech du 26 au 28 septembre 2022</w:t>
      </w:r>
      <w:r w:rsidRPr="00F710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est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7380A" w:rsidRPr="00352C06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« Les guichets uniques du futur au cœur de la transformation digitale et de la fluidification du commerce transfrontalier »</w:t>
      </w:r>
      <w:r w:rsidR="0047380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14:paraId="141A9323" w14:textId="400D8D0F" w:rsidR="00AA3BAA" w:rsidRDefault="00391FBB" w:rsidP="00E27EB8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Avec la participation d</w:t>
      </w:r>
      <w:r w:rsidR="00B046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 plusieurs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experts internationaux de divers horizons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de décideurs, de chefs d’entreprises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</w:t>
      </w:r>
      <w:r w:rsidR="009304F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’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acteurs de l’écosystème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du commerce international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des débats et des échanges seront engagés</w:t>
      </w:r>
      <w:r w:rsidR="00F710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trois jours durant</w:t>
      </w:r>
      <w:r w:rsidR="00B66D8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FA04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autour </w:t>
      </w:r>
      <w:r w:rsidR="0047380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 sujets couvrant notamment (i) l</w:t>
      </w:r>
      <w:r w:rsidR="0047380A" w:rsidRPr="005670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transformation digitale et l’utilisation des technologies pour un commerce international efficient, inclusif et durable</w:t>
      </w:r>
      <w:r w:rsidR="0047380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; (ii) l</w:t>
      </w:r>
      <w:r w:rsidR="0047380A" w:rsidRPr="005670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collaboration et l’interopérabilité régionale et internationale</w:t>
      </w:r>
      <w:r w:rsidR="009968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7380A" w:rsidRPr="005670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entre les guichets uniques ;</w:t>
      </w:r>
      <w:r w:rsidR="0047380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(iii) l</w:t>
      </w:r>
      <w:r w:rsidR="0047380A" w:rsidRPr="005670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 rôle de l’écosystème des Guichets Uniques dans la promotion et le développement du commerce intra-africain;</w:t>
      </w:r>
      <w:r w:rsidR="0047380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(iv) l</w:t>
      </w:r>
      <w:r w:rsidR="0047380A" w:rsidRPr="005670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’innovation et les technologies de ruptures au cœur des Guichets uniques du futur.</w:t>
      </w:r>
    </w:p>
    <w:p w14:paraId="4951B8BC" w14:textId="2B91BF40" w:rsidR="00AA522E" w:rsidRDefault="0047380A" w:rsidP="00A3093A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Plusieurs conférences, workshops et panels sont prévus au programme de cette rencontre</w:t>
      </w:r>
      <w:r w:rsidR="00695B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qui sera aussi l’occasion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5C03C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pour (i) l</w:t>
      </w:r>
      <w:r w:rsidR="00AA52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 partage d’expériences, </w:t>
      </w:r>
      <w:r w:rsidR="005C03C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(ii) l</w:t>
      </w:r>
      <w:r w:rsidR="00AA52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’échange </w:t>
      </w:r>
      <w:r w:rsidR="005C03C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 meilleurs pratiques internationales</w:t>
      </w:r>
      <w:r w:rsidR="00F710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dans ce domaine</w:t>
      </w:r>
      <w:r w:rsidR="005C03C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(iii) la présentation des dernières innovations afférentes aux guichets uniques et au commerce transfrontalier.</w:t>
      </w:r>
    </w:p>
    <w:p w14:paraId="2D68564B" w14:textId="441D1163" w:rsidR="005608F0" w:rsidRDefault="00E5085A" w:rsidP="00B046A4">
      <w:pPr>
        <w:spacing w:line="276" w:lineRule="auto"/>
        <w:jc w:val="both"/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L’organisation de la 8</w:t>
      </w:r>
      <w:r w:rsidRPr="00E508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ième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Conférence International des Guichets Uniques </w:t>
      </w:r>
      <w:r w:rsidR="005608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à Marrakech, pour la deuxième fois après le succès de l’édition de 2016 tenue </w:t>
      </w:r>
      <w:r w:rsidR="00695B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à</w:t>
      </w:r>
      <w:r w:rsidR="005608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 ville ocre,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s’inscrit </w:t>
      </w:r>
      <w:r w:rsidR="00F710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aussi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dans le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 xml:space="preserve">cadre de l’engagement africain du Maroc, </w:t>
      </w:r>
      <w:r w:rsidR="005608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sous </w:t>
      </w:r>
      <w:r w:rsidR="00B046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 leadership éclairé</w:t>
      </w:r>
      <w:r w:rsidR="005608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 Sa Majesté le Roi Mohammed VI, </w:t>
      </w:r>
      <w:r w:rsidR="00B046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pour l’émergence d’une </w:t>
      </w:r>
      <w:r w:rsidR="004B11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économie africaine</w:t>
      </w:r>
      <w:r w:rsidR="00B046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B11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moderne, compétitiv</w:t>
      </w:r>
      <w:r w:rsidR="005028D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</w:t>
      </w:r>
      <w:r w:rsidR="004B117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</w:t>
      </w:r>
      <w:r w:rsidR="00B046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prospère.</w:t>
      </w:r>
    </w:p>
    <w:p w14:paraId="0BA23910" w14:textId="7528E8AE" w:rsidR="00D02325" w:rsidRPr="00A3093A" w:rsidRDefault="00B046A4" w:rsidP="008679B6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EFCCE0" wp14:editId="59264EC3">
            <wp:simplePos x="0" y="0"/>
            <wp:positionH relativeFrom="column">
              <wp:posOffset>2058035</wp:posOffset>
            </wp:positionH>
            <wp:positionV relativeFrom="paragraph">
              <wp:posOffset>78105</wp:posOffset>
            </wp:positionV>
            <wp:extent cx="1270000" cy="1270000"/>
            <wp:effectExtent l="0" t="0" r="635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325" w:rsidRPr="00A3093A" w:rsidSect="004B117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578"/>
    <w:multiLevelType w:val="multilevel"/>
    <w:tmpl w:val="525AA1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623EBF"/>
    <w:multiLevelType w:val="hybridMultilevel"/>
    <w:tmpl w:val="C58877E4"/>
    <w:lvl w:ilvl="0" w:tplc="95BE3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E"/>
    <w:rsid w:val="00011B7F"/>
    <w:rsid w:val="000C514E"/>
    <w:rsid w:val="001544EC"/>
    <w:rsid w:val="002216FA"/>
    <w:rsid w:val="002A2352"/>
    <w:rsid w:val="002B5E71"/>
    <w:rsid w:val="002C74F7"/>
    <w:rsid w:val="0031692A"/>
    <w:rsid w:val="00332A54"/>
    <w:rsid w:val="00352C06"/>
    <w:rsid w:val="00391FBB"/>
    <w:rsid w:val="003A645A"/>
    <w:rsid w:val="003D0D6E"/>
    <w:rsid w:val="003E7675"/>
    <w:rsid w:val="00441796"/>
    <w:rsid w:val="00443AFF"/>
    <w:rsid w:val="0047380A"/>
    <w:rsid w:val="004B1173"/>
    <w:rsid w:val="004B4737"/>
    <w:rsid w:val="005028DD"/>
    <w:rsid w:val="00511B80"/>
    <w:rsid w:val="00526AF5"/>
    <w:rsid w:val="00546753"/>
    <w:rsid w:val="005608F0"/>
    <w:rsid w:val="00567060"/>
    <w:rsid w:val="005A290A"/>
    <w:rsid w:val="005C03C4"/>
    <w:rsid w:val="005D6F1D"/>
    <w:rsid w:val="00672C75"/>
    <w:rsid w:val="00695B9F"/>
    <w:rsid w:val="006A352B"/>
    <w:rsid w:val="006C2752"/>
    <w:rsid w:val="006E7F51"/>
    <w:rsid w:val="00700C34"/>
    <w:rsid w:val="007F3F5D"/>
    <w:rsid w:val="008679B6"/>
    <w:rsid w:val="008C73A4"/>
    <w:rsid w:val="009304FF"/>
    <w:rsid w:val="00996899"/>
    <w:rsid w:val="009A5EC6"/>
    <w:rsid w:val="009B45FA"/>
    <w:rsid w:val="009B4F59"/>
    <w:rsid w:val="00A03D1A"/>
    <w:rsid w:val="00A3093A"/>
    <w:rsid w:val="00AA3BAA"/>
    <w:rsid w:val="00AA522E"/>
    <w:rsid w:val="00AF1A30"/>
    <w:rsid w:val="00B046A4"/>
    <w:rsid w:val="00B54793"/>
    <w:rsid w:val="00B66D84"/>
    <w:rsid w:val="00BE6623"/>
    <w:rsid w:val="00C628CA"/>
    <w:rsid w:val="00C76D2C"/>
    <w:rsid w:val="00C91912"/>
    <w:rsid w:val="00CC0109"/>
    <w:rsid w:val="00CF4BBC"/>
    <w:rsid w:val="00D02325"/>
    <w:rsid w:val="00D74C43"/>
    <w:rsid w:val="00DD34C5"/>
    <w:rsid w:val="00E244DC"/>
    <w:rsid w:val="00E27EB8"/>
    <w:rsid w:val="00E5085A"/>
    <w:rsid w:val="00E543C8"/>
    <w:rsid w:val="00E64335"/>
    <w:rsid w:val="00EA19DE"/>
    <w:rsid w:val="00EF2980"/>
    <w:rsid w:val="00F45DB2"/>
    <w:rsid w:val="00F710EF"/>
    <w:rsid w:val="00F86C6F"/>
    <w:rsid w:val="00FA04F4"/>
    <w:rsid w:val="00FD394F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EB0"/>
  <w15:chartTrackingRefBased/>
  <w15:docId w15:val="{0E126FED-C22A-429A-8CF3-86256610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DE"/>
  </w:style>
  <w:style w:type="paragraph" w:styleId="Titre1">
    <w:name w:val="heading 1"/>
    <w:basedOn w:val="Normal"/>
    <w:link w:val="Titre1Car"/>
    <w:uiPriority w:val="9"/>
    <w:qFormat/>
    <w:rsid w:val="003D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4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F5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D0D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608F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08F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3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03D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Rajae EL KHAMLICHI</cp:lastModifiedBy>
  <cp:revision>2</cp:revision>
  <cp:lastPrinted>2022-09-16T14:44:00Z</cp:lastPrinted>
  <dcterms:created xsi:type="dcterms:W3CDTF">2022-09-16T15:09:00Z</dcterms:created>
  <dcterms:modified xsi:type="dcterms:W3CDTF">2022-09-16T15:09:00Z</dcterms:modified>
</cp:coreProperties>
</file>